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0" w:end="0" w:firstLine="720"/>
        <w:jc w:val="both"/>
        <w:rPr/>
      </w:pPr>
      <w:r>
        <w:rPr>
          <w:color w:val="000000"/>
          <w:spacing w:val="0"/>
          <w:w w:val="100"/>
        </w:rPr>
        <w:t>Прокуратура информирует</w:t>
      </w:r>
      <w:r>
        <w:rPr>
          <w:color w:val="000000"/>
          <w:spacing w:val="0"/>
          <w:w w:val="100"/>
        </w:rPr>
        <w:t>:</w:t>
      </w:r>
    </w:p>
    <w:p>
      <w:pPr>
        <w:pStyle w:val="Style1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0" w:end="0" w:firstLine="720"/>
        <w:jc w:val="both"/>
        <w:rPr/>
      </w:pPr>
      <w:r>
        <w:rPr>
          <w:color w:val="000000"/>
          <w:spacing w:val="0"/>
          <w:w w:val="100"/>
        </w:rPr>
        <w:t>«По отдельным категориям гражданских дел, рассматриваемых судом, законодательством предусмотрен обязательный досудебный претензионный порядок. Несоблюдение досудебного порядка урегулирования спора либо не представление суду документов, подтверждающих соблюдение досудебного порядка урегулирования спора с ответчиком, в соответствии с п.1 части первой ст. 135 Гражданского процессуального кодекса РФ является основанием для возврата искового заявления. Аналогичные нормы содержатся в Кодексе административного судопроизводства РФ и Арбитражном процессуальном кодексе РФ.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Style1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0" w:end="0" w:firstLine="720"/>
        <w:jc w:val="both"/>
        <w:rPr/>
      </w:pPr>
      <w:r>
        <w:rPr>
          <w:color w:val="000000"/>
          <w:spacing w:val="0"/>
          <w:w w:val="100"/>
        </w:rPr>
        <w:t xml:space="preserve">В соответствии с действующим законодательством, досудебный порядок урегулирования споров обязателен по спорам: об изменении, расторжении договора (ч.2 ст.452 Гражданского кодекса РФ); о расторжении договора аренды (ч.З ст.619 Гражданского кодекса РФ); о расторжении договора найма, о выселении (ч.4 ст.687 Гражданского кодекса РФ, ч,1 ст.35 и ч.1 ст.91 Жилищного кодекса РФ); о защите прав потребителей финансовых услуг (ч.2 ст.25 Федерального закона от 04.06.2018 №123-Ф3 «Об уполномоченном по правам потребителей финансовых услуг»); о выплатах по договору ОСАГО (ч.5.1 ст. 14.1, ч.1 ст. 16.1, абз.З ч.1 ст. 16.1, ч.З ст. 19, абз.2 ч.4 ст. 19 Федерального закона от 25.04.2002 № 40-ФЗ «Об обязательном страховании гражданской ответственности владельцев транспортных средств»); о назначении обеспечения по обязательному социальному страхованию от несчастных случаев и профзаболеваний (ст. 15.2 Федерального закона от 24.07.1998 № 125-ФЗ «Об обязательном социальном страховании от несчастных случаев на производстве и профессиональных заболеваний»); вытекающим из авиаперевозок груза, почты (ч.З ст. 124 Воздушного кодекса РФ); вытекающим из ж/д перевозок груза (ст. 120 Федерального закона от 10.01.2003 № 18-ФЗ «Устав железнодорожного транспорта Российской Федерации»); вытекающим из перевозок пассажиров, груза автотранспортом (ч.2 ст.39 Федерального закона от 08.11.2007 № 259-ФЗ «Устав автомобильного транспорта и городского наземного электрического транспорта»); вытекающим из перевозок груза морским транспортом (ч.1 ст.403 </w:t>
      </w:r>
    </w:p>
    <w:p>
      <w:pPr>
        <w:pStyle w:val="Style1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0" w:end="0" w:hanging="0"/>
        <w:jc w:val="both"/>
        <w:rPr/>
      </w:pPr>
      <w:r>
        <w:rPr>
          <w:color w:val="000000"/>
          <w:spacing w:val="0"/>
          <w:w w:val="100"/>
        </w:rPr>
        <w:t>Кодекса торгового мореплавания РФ от 30.04.1999 № 81-ФЗ); вытекающим из перевозок внутренним водным транспортом (ч,1 ст. 161 Кодекса внутреннего водного транспорта РФ от 07.03.2001 №24-ФЗ); вытекающим из договора об оказании услуг связи (ч.4 ст. 55 Федерального закона от 07.07.2003 № 126-ФЗ «О связи» и ч.7 ст.37 Федерального закона от 17.07.1999 №176-ФЗ «О почтовой связи») и другим.</w:t>
      </w:r>
    </w:p>
    <w:p>
      <w:pPr>
        <w:pStyle w:val="Style15"/>
        <w:keepNext w:val="false"/>
        <w:keepLines w:val="false"/>
        <w:widowControl w:val="false"/>
        <w:shd w:val="clear" w:color="auto" w:fill="auto"/>
        <w:bidi w:val="0"/>
        <w:spacing w:lineRule="auto" w:line="240" w:before="0" w:after="580"/>
        <w:ind w:start="0" w:end="0" w:firstLine="700"/>
        <w:jc w:val="both"/>
        <w:rPr/>
      </w:pPr>
      <w:r>
        <w:rPr>
          <w:color w:val="000000"/>
          <w:spacing w:val="0"/>
          <w:w w:val="100"/>
        </w:rPr>
        <w:t>При этом, в ходе досудебного урегулирования спора необходимо обеспечить документальное фиксирование этого факта, поскольку в случае недостижения согласия между сторонами и необходимости последующего обращения с соответствующим исковым заявлением в суд, возникнет необходимость предоставления суду доказательств соблюдения указанной процедуры.»</w:t>
      </w:r>
    </w:p>
    <w:p>
      <w:pPr>
        <w:pStyle w:val="Style15"/>
        <w:widowControl w:val="false"/>
        <w:shd w:val="clear" w:color="auto" w:fill="auto"/>
        <w:bidi w:val="0"/>
        <w:spacing w:lineRule="auto" w:line="240" w:before="0" w:after="580"/>
        <w:ind w:start="0" w:end="0" w:hanging="0"/>
        <w:jc w:val="both"/>
        <w:rPr/>
      </w:pPr>
      <w:r>
        <w:rPr>
          <w:color w:val="000000"/>
          <w:spacing w:val="0"/>
          <w:w w:val="100"/>
        </w:rPr>
        <w:t xml:space="preserve">Заместитель городского прокурора советник юстиции </w:t>
        <w:tab/>
        <w:tab/>
        <w:tab/>
        <w:tab/>
        <w:t xml:space="preserve">  С.Ф. Балясный</w:t>
      </w:r>
    </w:p>
    <w:p>
      <w:pPr>
        <w:pStyle w:val="Style15"/>
        <w:widowControl w:val="false"/>
        <w:shd w:val="clear" w:color="auto" w:fill="auto"/>
        <w:bidi w:val="0"/>
        <w:spacing w:lineRule="auto" w:line="240" w:before="0" w:after="160"/>
        <w:ind w:start="0" w:end="0" w:hanging="0"/>
        <w:jc w:val="end"/>
        <w:rPr>
          <w:color w:val="000000"/>
          <w:spacing w:val="0"/>
          <w:w w:val="100"/>
        </w:rPr>
      </w:pPr>
      <w:r>
        <w:rPr/>
      </w:r>
    </w:p>
    <w:p>
      <w:pPr>
        <w:pStyle w:val="Style15"/>
        <w:widowControl w:val="false"/>
        <w:shd w:val="clear" w:color="auto" w:fill="auto"/>
        <w:bidi w:val="0"/>
        <w:spacing w:lineRule="auto" w:line="240" w:before="0" w:after="160"/>
        <w:ind w:start="0" w:end="0" w:hanging="0"/>
        <w:jc w:val="end"/>
        <w:rPr>
          <w:color w:val="000000"/>
          <w:spacing w:val="0"/>
          <w:w w:val="100"/>
        </w:rPr>
      </w:pPr>
      <w:r>
        <w:rPr/>
      </w:r>
    </w:p>
    <w:p>
      <w:pPr>
        <w:pStyle w:val="Style15"/>
        <w:widowControl w:val="false"/>
        <w:shd w:val="clear" w:color="auto" w:fill="auto"/>
        <w:bidi w:val="0"/>
        <w:spacing w:lineRule="auto" w:line="240" w:before="0" w:after="160"/>
        <w:ind w:start="0" w:end="0" w:hanging="0"/>
        <w:jc w:val="end"/>
        <w:rPr>
          <w:color w:val="000000"/>
          <w:spacing w:val="0"/>
          <w:w w:val="100"/>
        </w:rPr>
      </w:pPr>
      <w:r>
        <w:rPr/>
      </w:r>
    </w:p>
    <w:p>
      <w:pPr>
        <w:pStyle w:val="Style15"/>
        <w:widowControl w:val="false"/>
        <w:shd w:val="clear" w:color="auto" w:fill="auto"/>
        <w:bidi w:val="0"/>
        <w:spacing w:lineRule="auto" w:line="240" w:before="0" w:after="160"/>
        <w:ind w:start="0" w:end="0" w:hanging="0"/>
        <w:jc w:val="end"/>
        <w:rPr>
          <w:color w:val="000000"/>
          <w:spacing w:val="0"/>
          <w:w w:val="100"/>
        </w:rPr>
      </w:pPr>
      <w:r>
        <w:rPr/>
      </w:r>
    </w:p>
    <w:sectPr>
      <w:headerReference w:type="default" r:id="rId2"/>
      <w:type w:val="nextPage"/>
      <w:pgSz w:w="11906" w:h="16838"/>
      <w:pgMar w:left="1071" w:right="807" w:gutter="0" w:header="0" w:top="1088" w:footer="0" w:bottom="70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lineRule="exact" w:line="1"/>
      <w:jc w:val="star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3840480</wp:posOffset>
              </wp:positionH>
              <wp:positionV relativeFrom="page">
                <wp:posOffset>184785</wp:posOffset>
              </wp:positionV>
              <wp:extent cx="62230" cy="174625"/>
              <wp:effectExtent l="0" t="0" r="0" b="0"/>
              <wp:wrapNone/>
              <wp:docPr id="1" name="Shap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start="0" w:end="0" w:hanging="0"/>
                            <w:jc w:val="star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3" path="m0,0l-2147483645,0l-2147483645,-2147483646l0,-2147483646xe" stroked="f" o:allowincell="f" style="position:absolute;margin-left:302.4pt;margin-top:14.55pt;width:4.8pt;height:1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start="0" w:end="0" w:hanging="0"/>
                      <w:jc w:val="start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" w:cs="Arial" w:ascii="Arial" w:hAnsi="Arial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">
    <w:name w:val="Колонтитул (2)"/>
    <w:basedOn w:val="Normal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362</Words>
  <Characters>2559</Characters>
  <CharactersWithSpaces>2921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2022-09-09T14:09:13Z</dcterms:modified>
  <cp:revision>1</cp:revision>
  <dc:subject/>
  <dc:title/>
</cp:coreProperties>
</file>